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F2202D">
        <w:rPr>
          <w:rFonts w:ascii="Times New Roman" w:hAnsi="Times New Roman"/>
          <w:noProof/>
          <w:szCs w:val="24"/>
        </w:rPr>
        <w:drawing>
          <wp:inline distT="0" distB="0" distL="0" distR="0" wp14:anchorId="72D9AD95" wp14:editId="23E5138F">
            <wp:extent cx="7239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Администрация</w:t>
      </w: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Ерзовского городского поселения</w:t>
      </w:r>
    </w:p>
    <w:p w:rsidR="00E610EF" w:rsidRPr="00F2202D" w:rsidRDefault="00E610EF" w:rsidP="00F220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Городищенского муниципального района</w:t>
      </w:r>
    </w:p>
    <w:p w:rsidR="00E610EF" w:rsidRPr="00F2202D" w:rsidRDefault="00E610EF" w:rsidP="00F220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Волгоградской области</w:t>
      </w:r>
    </w:p>
    <w:p w:rsidR="00E610EF" w:rsidRPr="00F2202D" w:rsidRDefault="00E610EF" w:rsidP="00F220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403010, </w:t>
      </w:r>
      <w:proofErr w:type="spellStart"/>
      <w:r w:rsidRPr="00F2202D">
        <w:rPr>
          <w:rFonts w:ascii="Times New Roman" w:hAnsi="Times New Roman"/>
          <w:b/>
          <w:szCs w:val="24"/>
        </w:rPr>
        <w:t>р.п</w:t>
      </w:r>
      <w:proofErr w:type="spellEnd"/>
      <w:r w:rsidRPr="00F2202D">
        <w:rPr>
          <w:rFonts w:ascii="Times New Roman" w:hAnsi="Times New Roman"/>
          <w:b/>
          <w:szCs w:val="24"/>
        </w:rPr>
        <w:t>. Ерзовка, ул. Мелиоративная, дом 2,  тел/факс: (84468) 4-78-78, 4-79-15</w:t>
      </w:r>
    </w:p>
    <w:p w:rsidR="00E610EF" w:rsidRPr="00F2202D" w:rsidRDefault="00571323" w:rsidP="00571323">
      <w:pPr>
        <w:tabs>
          <w:tab w:val="left" w:pos="7238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71323">
        <w:rPr>
          <w:rFonts w:ascii="Times New Roman" w:hAnsi="Times New Roman"/>
          <w:b/>
          <w:sz w:val="32"/>
          <w:szCs w:val="24"/>
        </w:rPr>
        <w:t>ПРОЕКТ</w:t>
      </w: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F2202D">
        <w:rPr>
          <w:rFonts w:ascii="Times New Roman" w:hAnsi="Times New Roman"/>
          <w:b/>
          <w:szCs w:val="24"/>
        </w:rPr>
        <w:t>П</w:t>
      </w:r>
      <w:proofErr w:type="gramEnd"/>
      <w:r w:rsidRPr="00F2202D">
        <w:rPr>
          <w:rFonts w:ascii="Times New Roman" w:hAnsi="Times New Roman"/>
          <w:b/>
          <w:szCs w:val="24"/>
        </w:rPr>
        <w:t xml:space="preserve"> О С Т А Н О В Л Е Н И Е</w:t>
      </w:r>
    </w:p>
    <w:p w:rsidR="00E610EF" w:rsidRPr="00F2202D" w:rsidRDefault="00E610EF" w:rsidP="00F2202D">
      <w:pPr>
        <w:spacing w:line="240" w:lineRule="auto"/>
        <w:rPr>
          <w:rFonts w:ascii="Times New Roman" w:hAnsi="Times New Roman"/>
          <w:szCs w:val="24"/>
        </w:rPr>
      </w:pPr>
    </w:p>
    <w:p w:rsidR="00E610EF" w:rsidRPr="00F2202D" w:rsidRDefault="00E610EF" w:rsidP="00F2202D">
      <w:pPr>
        <w:spacing w:line="240" w:lineRule="auto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от </w:t>
      </w:r>
      <w:r w:rsidR="002E767E">
        <w:rPr>
          <w:rFonts w:ascii="Times New Roman" w:hAnsi="Times New Roman"/>
          <w:szCs w:val="24"/>
        </w:rPr>
        <w:t>_______                                                                                                                           №____</w:t>
      </w: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ind w:right="1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E610EF" w:rsidRPr="00F2202D">
        <w:rPr>
          <w:rFonts w:ascii="Times New Roman" w:hAnsi="Times New Roman"/>
          <w:b/>
          <w:szCs w:val="24"/>
        </w:rPr>
        <w:t>в</w:t>
      </w:r>
      <w:r w:rsidR="00E610EF" w:rsidRPr="00F2202D">
        <w:rPr>
          <w:rFonts w:ascii="Times New Roman" w:hAnsi="Times New Roman"/>
          <w:b/>
          <w:spacing w:val="2"/>
          <w:szCs w:val="24"/>
        </w:rPr>
        <w:t xml:space="preserve"> дорожном хозяйстве на </w:t>
      </w:r>
      <w:r w:rsidRPr="00F2202D">
        <w:rPr>
          <w:rFonts w:ascii="Times New Roman" w:hAnsi="Times New Roman"/>
          <w:b/>
          <w:szCs w:val="24"/>
        </w:rPr>
        <w:t xml:space="preserve">территории </w:t>
      </w:r>
      <w:r w:rsidR="00E610EF" w:rsidRPr="00F2202D">
        <w:rPr>
          <w:rFonts w:ascii="Times New Roman" w:hAnsi="Times New Roman"/>
          <w:b/>
          <w:szCs w:val="24"/>
        </w:rPr>
        <w:t>Ерзовского городского поселения Городищенского муниципального района Волгоградской области</w:t>
      </w:r>
      <w:r w:rsidR="002E767E">
        <w:rPr>
          <w:rFonts w:ascii="Times New Roman" w:hAnsi="Times New Roman"/>
          <w:b/>
          <w:szCs w:val="24"/>
        </w:rPr>
        <w:t xml:space="preserve"> на 2023</w:t>
      </w:r>
      <w:r w:rsidRPr="00F2202D">
        <w:rPr>
          <w:rFonts w:ascii="Times New Roman" w:hAnsi="Times New Roman"/>
          <w:b/>
          <w:szCs w:val="24"/>
        </w:rPr>
        <w:t xml:space="preserve"> год</w:t>
      </w:r>
    </w:p>
    <w:p w:rsidR="000576D5" w:rsidRPr="00F2202D" w:rsidRDefault="000576D5" w:rsidP="00F2202D">
      <w:pPr>
        <w:spacing w:line="240" w:lineRule="auto"/>
        <w:ind w:right="3544"/>
        <w:jc w:val="both"/>
        <w:rPr>
          <w:rFonts w:ascii="Times New Roman" w:hAnsi="Times New Roman"/>
          <w:b/>
          <w:szCs w:val="24"/>
        </w:rPr>
      </w:pP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F2202D">
        <w:rPr>
          <w:rFonts w:ascii="Times New Roman" w:hAnsi="Times New Roman"/>
          <w:szCs w:val="24"/>
        </w:rPr>
        <w:t>В соответствии со статьей 44 Федерального</w:t>
      </w:r>
      <w:r w:rsidR="00E610EF" w:rsidRPr="00F2202D">
        <w:rPr>
          <w:rFonts w:ascii="Times New Roman" w:hAnsi="Times New Roman"/>
          <w:szCs w:val="24"/>
        </w:rPr>
        <w:t xml:space="preserve"> закона от 31.07.2020 № 248-ФЗ «</w:t>
      </w:r>
      <w:r w:rsidRPr="00F2202D">
        <w:rPr>
          <w:rFonts w:ascii="Times New Roman" w:hAnsi="Times New Roman"/>
          <w:szCs w:val="24"/>
        </w:rPr>
        <w:t xml:space="preserve">О государственном контроле (надзоре) и муниципальном </w:t>
      </w:r>
      <w:r w:rsidR="00E610EF" w:rsidRPr="00F2202D">
        <w:rPr>
          <w:rFonts w:ascii="Times New Roman" w:hAnsi="Times New Roman"/>
          <w:szCs w:val="24"/>
        </w:rPr>
        <w:t>контроле в Российской Федерации»</w:t>
      </w:r>
      <w:r w:rsidRPr="00F2202D">
        <w:rPr>
          <w:rFonts w:ascii="Times New Roman" w:hAnsi="Times New Roman"/>
          <w:szCs w:val="24"/>
        </w:rPr>
        <w:t xml:space="preserve">, Федеральным </w:t>
      </w:r>
      <w:r w:rsidR="00E610EF" w:rsidRPr="00F2202D">
        <w:rPr>
          <w:rFonts w:ascii="Times New Roman" w:hAnsi="Times New Roman"/>
          <w:szCs w:val="24"/>
        </w:rPr>
        <w:t>законом от 06.10.2003 № 131-ФЗ «</w:t>
      </w:r>
      <w:r w:rsidRPr="00F2202D">
        <w:rPr>
          <w:rFonts w:ascii="Times New Roman" w:hAnsi="Times New Roman"/>
          <w:szCs w:val="24"/>
        </w:rPr>
        <w:t>Об общих принципах организации местного самоуправления в Российской Фе</w:t>
      </w:r>
      <w:r w:rsidR="00E610EF" w:rsidRPr="00F2202D">
        <w:rPr>
          <w:rFonts w:ascii="Times New Roman" w:hAnsi="Times New Roman"/>
          <w:szCs w:val="24"/>
        </w:rPr>
        <w:t>дерации»</w:t>
      </w:r>
      <w:r w:rsidRPr="00F2202D">
        <w:rPr>
          <w:rFonts w:ascii="Times New Roman" w:hAnsi="Times New Roman"/>
          <w:szCs w:val="24"/>
        </w:rPr>
        <w:t xml:space="preserve">, Постановлением Правительства Российской Федерации от 25.06.2021 № 990 </w:t>
      </w:r>
      <w:r w:rsidR="00E610EF" w:rsidRPr="00F2202D">
        <w:rPr>
          <w:rFonts w:ascii="Times New Roman" w:hAnsi="Times New Roman"/>
          <w:szCs w:val="24"/>
        </w:rPr>
        <w:t>«</w:t>
      </w:r>
      <w:r w:rsidRPr="00F2202D">
        <w:rPr>
          <w:rFonts w:ascii="Times New Roman" w:hAnsi="Times New Roman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610EF" w:rsidRPr="00F2202D">
        <w:rPr>
          <w:rFonts w:ascii="Times New Roman" w:hAnsi="Times New Roman"/>
          <w:szCs w:val="24"/>
        </w:rPr>
        <w:t>а) охраняемым законом ценностям»</w:t>
      </w:r>
      <w:r w:rsidRPr="00F2202D">
        <w:rPr>
          <w:rFonts w:ascii="Times New Roman" w:hAnsi="Times New Roman"/>
          <w:szCs w:val="24"/>
        </w:rPr>
        <w:t>, руководствуясь</w:t>
      </w:r>
      <w:proofErr w:type="gramEnd"/>
      <w:r w:rsidRPr="00F2202D">
        <w:rPr>
          <w:rFonts w:ascii="Times New Roman" w:hAnsi="Times New Roman"/>
          <w:szCs w:val="24"/>
        </w:rPr>
        <w:t xml:space="preserve"> Уставом </w:t>
      </w:r>
      <w:r w:rsidR="00E610EF" w:rsidRPr="00F2202D">
        <w:rPr>
          <w:rFonts w:ascii="Times New Roman" w:hAnsi="Times New Roman"/>
          <w:szCs w:val="24"/>
        </w:rPr>
        <w:t>Ерзовского городского поселения Городищенского муниципального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, администрация </w:t>
      </w:r>
      <w:r w:rsidR="00E610EF" w:rsidRPr="00F2202D">
        <w:rPr>
          <w:rFonts w:ascii="Times New Roman" w:hAnsi="Times New Roman"/>
          <w:szCs w:val="24"/>
        </w:rPr>
        <w:t>Ерзовского городского поселения Городищенского муниципального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</w:t>
      </w:r>
      <w:proofErr w:type="gramStart"/>
      <w:r w:rsidRPr="00F2202D">
        <w:rPr>
          <w:rFonts w:ascii="Times New Roman" w:hAnsi="Times New Roman"/>
          <w:szCs w:val="24"/>
        </w:rPr>
        <w:t>п</w:t>
      </w:r>
      <w:proofErr w:type="gramEnd"/>
      <w:r w:rsidRPr="00F2202D">
        <w:rPr>
          <w:rFonts w:ascii="Times New Roman" w:hAnsi="Times New Roman"/>
          <w:szCs w:val="24"/>
        </w:rPr>
        <w:t xml:space="preserve"> о с т а н о в л я е т:</w:t>
      </w: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E610EF" w:rsidRPr="00F2202D">
        <w:rPr>
          <w:rFonts w:ascii="Times New Roman" w:hAnsi="Times New Roman"/>
          <w:szCs w:val="24"/>
        </w:rPr>
        <w:t xml:space="preserve"> в дорожном хозяйстве</w:t>
      </w:r>
      <w:r w:rsidRPr="00F2202D">
        <w:rPr>
          <w:rFonts w:ascii="Times New Roman" w:hAnsi="Times New Roman"/>
          <w:szCs w:val="24"/>
        </w:rPr>
        <w:t xml:space="preserve"> на территории </w:t>
      </w:r>
      <w:r w:rsidR="00E610EF" w:rsidRPr="00F2202D">
        <w:rPr>
          <w:rFonts w:ascii="Times New Roman" w:hAnsi="Times New Roman"/>
          <w:szCs w:val="24"/>
        </w:rPr>
        <w:t>Ерзовского городского поселения Городищенского муниципально</w:t>
      </w:r>
      <w:r w:rsidR="00DA1C0E">
        <w:rPr>
          <w:rFonts w:ascii="Times New Roman" w:hAnsi="Times New Roman"/>
          <w:szCs w:val="24"/>
        </w:rPr>
        <w:t>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на 202</w:t>
      </w:r>
      <w:r w:rsidR="002E767E">
        <w:rPr>
          <w:rFonts w:ascii="Times New Roman" w:hAnsi="Times New Roman"/>
          <w:szCs w:val="24"/>
        </w:rPr>
        <w:t>3</w:t>
      </w:r>
      <w:r w:rsidRPr="00F2202D">
        <w:rPr>
          <w:rFonts w:ascii="Times New Roman" w:hAnsi="Times New Roman"/>
          <w:szCs w:val="24"/>
        </w:rPr>
        <w:t xml:space="preserve"> год согласно Приложению.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2. </w:t>
      </w:r>
      <w:proofErr w:type="gramStart"/>
      <w:r w:rsidRPr="00F2202D">
        <w:rPr>
          <w:rFonts w:ascii="Times New Roman" w:hAnsi="Times New Roman"/>
          <w:szCs w:val="24"/>
        </w:rPr>
        <w:t>Контроль за</w:t>
      </w:r>
      <w:proofErr w:type="gramEnd"/>
      <w:r w:rsidRPr="00F2202D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E610EF" w:rsidRPr="00F2202D">
        <w:rPr>
          <w:rFonts w:ascii="Times New Roman" w:hAnsi="Times New Roman"/>
          <w:szCs w:val="24"/>
        </w:rPr>
        <w:t>оставляю за собой</w:t>
      </w:r>
      <w:r w:rsidRPr="00F2202D">
        <w:rPr>
          <w:rFonts w:ascii="Times New Roman" w:hAnsi="Times New Roman"/>
          <w:szCs w:val="24"/>
        </w:rPr>
        <w:t>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3. Настоящее постановление вступает в силу </w:t>
      </w:r>
      <w:r w:rsidR="002E767E">
        <w:rPr>
          <w:rFonts w:ascii="Times New Roman" w:hAnsi="Times New Roman"/>
          <w:szCs w:val="24"/>
        </w:rPr>
        <w:t>с_________2023</w:t>
      </w:r>
      <w:r w:rsidRPr="00F2202D">
        <w:rPr>
          <w:rFonts w:ascii="Times New Roman" w:hAnsi="Times New Roman"/>
          <w:szCs w:val="24"/>
        </w:rPr>
        <w:t xml:space="preserve"> г. 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Глава </w:t>
      </w:r>
      <w:r w:rsidR="00E610EF" w:rsidRPr="00F2202D">
        <w:rPr>
          <w:rFonts w:ascii="Times New Roman" w:hAnsi="Times New Roman"/>
          <w:szCs w:val="24"/>
        </w:rPr>
        <w:t xml:space="preserve">Ерзовского городского поселения                                        С.В. </w:t>
      </w:r>
      <w:proofErr w:type="spellStart"/>
      <w:r w:rsidR="00E610EF" w:rsidRPr="00F2202D">
        <w:rPr>
          <w:rFonts w:ascii="Times New Roman" w:hAnsi="Times New Roman"/>
          <w:szCs w:val="24"/>
        </w:rPr>
        <w:t>Зубанков</w:t>
      </w:r>
      <w:proofErr w:type="spellEnd"/>
      <w:r w:rsidRPr="00F2202D">
        <w:rPr>
          <w:rFonts w:ascii="Times New Roman" w:hAnsi="Times New Roman"/>
          <w:szCs w:val="24"/>
        </w:rPr>
        <w:t xml:space="preserve">                                   </w:t>
      </w: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br w:type="page"/>
      </w:r>
      <w:r w:rsidRPr="00F2202D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F2202D" w:rsidRDefault="009073DD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к постановлению администрации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Ерзовского городского поселения 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Городищенского муниципального района 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Волгоградской области </w:t>
      </w:r>
    </w:p>
    <w:p w:rsidR="000576D5" w:rsidRDefault="009073DD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от __________ №______</w:t>
      </w:r>
    </w:p>
    <w:p w:rsidR="00DA1C0E" w:rsidRPr="00F2202D" w:rsidRDefault="00DA1C0E" w:rsidP="00F2202D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ПРОГРАММА</w:t>
      </w: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на территории </w:t>
      </w:r>
      <w:r w:rsidR="00E610EF" w:rsidRPr="00F2202D">
        <w:rPr>
          <w:rFonts w:ascii="Times New Roman" w:hAnsi="Times New Roman"/>
          <w:b/>
          <w:szCs w:val="24"/>
        </w:rPr>
        <w:t xml:space="preserve">Ерзовского городского </w:t>
      </w:r>
      <w:r w:rsidR="00E610EF" w:rsidRPr="002E767E">
        <w:rPr>
          <w:rFonts w:ascii="Times New Roman" w:hAnsi="Times New Roman"/>
          <w:b/>
          <w:szCs w:val="24"/>
        </w:rPr>
        <w:t>поселения Городищенского муниципального района Волгоградской области</w:t>
      </w:r>
      <w:r w:rsidR="00E610EF" w:rsidRPr="00F2202D">
        <w:rPr>
          <w:rFonts w:ascii="Times New Roman" w:hAnsi="Times New Roman"/>
          <w:szCs w:val="24"/>
        </w:rPr>
        <w:t xml:space="preserve"> </w:t>
      </w:r>
      <w:r w:rsidRPr="00F2202D">
        <w:rPr>
          <w:rFonts w:ascii="Times New Roman" w:hAnsi="Times New Roman"/>
          <w:b/>
          <w:szCs w:val="24"/>
        </w:rPr>
        <w:t xml:space="preserve"> на 202</w:t>
      </w:r>
      <w:r w:rsidR="002E767E">
        <w:rPr>
          <w:rFonts w:ascii="Times New Roman" w:hAnsi="Times New Roman"/>
          <w:b/>
          <w:szCs w:val="24"/>
        </w:rPr>
        <w:t>3</w:t>
      </w:r>
      <w:r w:rsidRPr="00F2202D">
        <w:rPr>
          <w:rFonts w:ascii="Times New Roman" w:hAnsi="Times New Roman"/>
          <w:b/>
          <w:szCs w:val="24"/>
        </w:rPr>
        <w:t xml:space="preserve"> год</w:t>
      </w:r>
    </w:p>
    <w:p w:rsidR="000576D5" w:rsidRPr="00F2202D" w:rsidRDefault="000576D5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1. Общие положения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1.1. </w:t>
      </w:r>
      <w:proofErr w:type="gramStart"/>
      <w:r w:rsidRPr="00F2202D">
        <w:rPr>
          <w:rFonts w:ascii="Times New Roman" w:hAnsi="Times New Roman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E610EF" w:rsidRPr="00F2202D">
        <w:rPr>
          <w:rFonts w:ascii="Times New Roman" w:hAnsi="Times New Roman"/>
          <w:szCs w:val="24"/>
        </w:rPr>
        <w:t xml:space="preserve"> в дорожном хозяйстве</w:t>
      </w:r>
      <w:r w:rsidRPr="00F2202D">
        <w:rPr>
          <w:rFonts w:ascii="Times New Roman" w:hAnsi="Times New Roman"/>
          <w:szCs w:val="24"/>
        </w:rPr>
        <w:t xml:space="preserve"> на территории </w:t>
      </w:r>
      <w:r w:rsidR="00E610EF" w:rsidRPr="00F2202D">
        <w:rPr>
          <w:rFonts w:ascii="Times New Roman" w:hAnsi="Times New Roman"/>
          <w:szCs w:val="24"/>
        </w:rPr>
        <w:t>Ерзовского городского поселения Городищенского муниципально</w:t>
      </w:r>
      <w:r w:rsidR="00DA1C0E">
        <w:rPr>
          <w:rFonts w:ascii="Times New Roman" w:hAnsi="Times New Roman"/>
          <w:szCs w:val="24"/>
        </w:rPr>
        <w:t>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на 202</w:t>
      </w:r>
      <w:r w:rsidR="002E767E">
        <w:rPr>
          <w:rFonts w:ascii="Times New Roman" w:hAnsi="Times New Roman"/>
          <w:szCs w:val="24"/>
        </w:rPr>
        <w:t>3</w:t>
      </w:r>
      <w:r w:rsidRPr="00F2202D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2E767E">
        <w:rPr>
          <w:rFonts w:ascii="Times New Roman" w:hAnsi="Times New Roman"/>
          <w:szCs w:val="24"/>
        </w:rPr>
        <w:t>3</w:t>
      </w:r>
      <w:r w:rsidRPr="00F2202D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</w:t>
      </w:r>
      <w:proofErr w:type="gramEnd"/>
      <w:r w:rsidRPr="00F2202D">
        <w:rPr>
          <w:rFonts w:ascii="Times New Roman" w:hAnsi="Times New Roman"/>
          <w:szCs w:val="24"/>
        </w:rPr>
        <w:t xml:space="preserve">, муниципальными правовыми актами </w:t>
      </w:r>
      <w:r w:rsidR="00E610EF" w:rsidRPr="00F2202D">
        <w:rPr>
          <w:rFonts w:ascii="Times New Roman" w:hAnsi="Times New Roman"/>
          <w:szCs w:val="24"/>
        </w:rPr>
        <w:t>Ерзовского городского поселения Городищенского муниципального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</w:t>
      </w:r>
      <w:r w:rsidR="00DA1C0E">
        <w:rPr>
          <w:rFonts w:ascii="Times New Roman" w:hAnsi="Times New Roman"/>
          <w:szCs w:val="24"/>
        </w:rPr>
        <w:t xml:space="preserve">) охраняемым законом ценностям, </w:t>
      </w:r>
      <w:r w:rsidRPr="00F2202D">
        <w:rPr>
          <w:rFonts w:ascii="Times New Roman" w:hAnsi="Times New Roman"/>
          <w:szCs w:val="24"/>
        </w:rPr>
        <w:t>разъяснения подконтрольным субъектам обязательных требований.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1.2. Программа профилактики реализуется в 202</w:t>
      </w:r>
      <w:r w:rsidR="002E767E">
        <w:rPr>
          <w:rFonts w:ascii="Times New Roman" w:hAnsi="Times New Roman"/>
          <w:szCs w:val="24"/>
        </w:rPr>
        <w:t>3</w:t>
      </w:r>
      <w:r w:rsidRPr="00F2202D">
        <w:rPr>
          <w:rFonts w:ascii="Times New Roman" w:hAnsi="Times New Roman"/>
          <w:szCs w:val="24"/>
        </w:rPr>
        <w:t xml:space="preserve"> году и состоит из </w:t>
      </w:r>
      <w:r w:rsidRPr="00F2202D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2202D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2. Аналитическая часть</w:t>
      </w:r>
    </w:p>
    <w:p w:rsidR="000576D5" w:rsidRPr="00F2202D" w:rsidRDefault="00E610EF" w:rsidP="00F2202D">
      <w:pPr>
        <w:pStyle w:val="ab"/>
        <w:jc w:val="both"/>
        <w:rPr>
          <w:rFonts w:ascii="Times New Roman" w:hAnsi="Times New Roman"/>
          <w:i/>
          <w:color w:val="FB290D"/>
        </w:rPr>
      </w:pPr>
      <w:r w:rsidRPr="00F2202D">
        <w:rPr>
          <w:rFonts w:ascii="Times New Roman" w:hAnsi="Times New Roman"/>
        </w:rPr>
        <w:t xml:space="preserve">Ранее  муниципальный контроль в дорожном хозяйстве на территории </w:t>
      </w:r>
      <w:r w:rsidRPr="00F2202D">
        <w:rPr>
          <w:rFonts w:ascii="Times New Roman" w:hAnsi="Times New Roman"/>
          <w:b/>
        </w:rPr>
        <w:t xml:space="preserve">Ерзовского городского </w:t>
      </w:r>
      <w:r w:rsidRPr="00F2202D">
        <w:rPr>
          <w:rFonts w:ascii="Times New Roman" w:hAnsi="Times New Roman"/>
        </w:rPr>
        <w:t xml:space="preserve">поселения Городищенского муниципального района Волгоградской области  не осуществлялся, в </w:t>
      </w:r>
      <w:proofErr w:type="gramStart"/>
      <w:r w:rsidRPr="00F2202D">
        <w:rPr>
          <w:rFonts w:ascii="Times New Roman" w:hAnsi="Times New Roman"/>
        </w:rPr>
        <w:t>связи</w:t>
      </w:r>
      <w:proofErr w:type="gramEnd"/>
      <w:r w:rsidRPr="00F2202D">
        <w:rPr>
          <w:rFonts w:ascii="Times New Roman" w:hAnsi="Times New Roman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F2202D">
        <w:rPr>
          <w:rFonts w:ascii="Times New Roman" w:hAnsi="Times New Roman"/>
          <w:i/>
        </w:rPr>
        <w:t>.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а) предупреждение </w:t>
      </w:r>
      <w:proofErr w:type="gramStart"/>
      <w:r w:rsidRPr="00F2202D">
        <w:rPr>
          <w:rFonts w:ascii="Times New Roman" w:hAnsi="Times New Roman"/>
          <w:szCs w:val="24"/>
        </w:rPr>
        <w:t>нарушений</w:t>
      </w:r>
      <w:proofErr w:type="gramEnd"/>
      <w:r w:rsidRPr="00F2202D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F2202D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F2202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F2202D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DA1C0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DA1C0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DA1C0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2202D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DA1C0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___ квартал /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2202D" w:rsidRPr="00F2202D" w:rsidRDefault="009073D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 xml:space="preserve">4.2. </w:t>
      </w:r>
      <w:r w:rsidRPr="00F2202D">
        <w:rPr>
          <w:i/>
          <w:color w:val="FB290D"/>
          <w:szCs w:val="24"/>
        </w:rPr>
        <w:t xml:space="preserve"> </w:t>
      </w:r>
      <w:r w:rsidR="00F2202D" w:rsidRPr="00F2202D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1) порядка проведения контрольных мероприятий;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2) периодичности проведения контрольных мероприятий;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3) порядка принятия решений по итогам контрольных мероприятий;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4) порядка обжалования решений Контрольного органа.</w:t>
      </w:r>
    </w:p>
    <w:p w:rsidR="00F2202D" w:rsidRPr="00F2202D" w:rsidRDefault="00F2202D" w:rsidP="00F2202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 xml:space="preserve">2) посредством размещения на официальном сайте письменного разъяснения по </w:t>
      </w:r>
      <w:r w:rsidRPr="00F2202D">
        <w:rPr>
          <w:szCs w:val="24"/>
        </w:rPr>
        <w:lastRenderedPageBreak/>
        <w:t>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1) порядок обжалования решений Контрольного органа.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F2202D">
          <w:rPr>
            <w:szCs w:val="24"/>
          </w:rPr>
          <w:t>законом</w:t>
        </w:r>
      </w:hyperlink>
      <w:r w:rsidRPr="00F2202D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Контрольный орган осуществляет учет проведенных консультирований.</w:t>
      </w: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F2202D">
        <w:rPr>
          <w:rFonts w:ascii="Times New Roman" w:hAnsi="Times New Roman"/>
          <w:szCs w:val="24"/>
        </w:rPr>
        <w:br/>
      </w:r>
      <w:r w:rsidRPr="00F2202D">
        <w:rPr>
          <w:rFonts w:ascii="Times New Roman" w:hAnsi="Times New Roman"/>
          <w:b/>
          <w:szCs w:val="24"/>
        </w:rPr>
        <w:t>Программы профилактики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2202D" w:rsidRPr="00F2202D" w:rsidRDefault="00F2202D" w:rsidP="00F2202D">
      <w:pPr>
        <w:pStyle w:val="ConsPlusNormal"/>
        <w:ind w:firstLine="0"/>
        <w:jc w:val="center"/>
        <w:rPr>
          <w:b/>
          <w:szCs w:val="24"/>
          <w:shd w:val="clear" w:color="auto" w:fill="F1C100"/>
        </w:rPr>
      </w:pPr>
      <w:r w:rsidRPr="00F2202D">
        <w:rPr>
          <w:b/>
          <w:szCs w:val="24"/>
        </w:rPr>
        <w:t xml:space="preserve">Перечень индикаторов риска </w:t>
      </w:r>
    </w:p>
    <w:p w:rsidR="00F2202D" w:rsidRPr="00F2202D" w:rsidRDefault="00F2202D" w:rsidP="00F2202D">
      <w:pPr>
        <w:pStyle w:val="ConsPlusNormal"/>
        <w:ind w:firstLine="0"/>
        <w:jc w:val="center"/>
        <w:rPr>
          <w:b/>
          <w:szCs w:val="24"/>
        </w:rPr>
      </w:pPr>
      <w:r w:rsidRPr="00F2202D">
        <w:rPr>
          <w:b/>
          <w:szCs w:val="24"/>
        </w:rPr>
        <w:t>нарушения обязательных требований, проверяемых в рамках осуществления муниципального контроля в дорожном хозяйстве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на территории Ерзовского городского поселения Городищенского муниципального района Волгоградской области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27"/>
        <w:gridCol w:w="2835"/>
      </w:tblGrid>
      <w:tr w:rsidR="00F2202D" w:rsidRPr="00F2202D" w:rsidTr="00791F1C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2D"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2D">
              <w:rPr>
                <w:rFonts w:ascii="Times New Roman" w:hAnsi="Times New Roman"/>
                <w:b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2D">
              <w:rPr>
                <w:rFonts w:ascii="Times New Roman" w:hAnsi="Times New Roman"/>
                <w:b/>
                <w:szCs w:val="24"/>
              </w:rPr>
              <w:t xml:space="preserve">Показатель </w:t>
            </w:r>
            <w:r w:rsidRPr="00F2202D">
              <w:rPr>
                <w:rFonts w:ascii="Times New Roman" w:hAnsi="Times New Roman"/>
                <w:b/>
                <w:szCs w:val="24"/>
              </w:rPr>
              <w:br/>
              <w:t>индикатора риска</w:t>
            </w:r>
          </w:p>
        </w:tc>
      </w:tr>
      <w:tr w:rsidR="00F2202D" w:rsidRPr="00F2202D" w:rsidTr="00791F1C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&lt; 5 шт. или</w:t>
            </w:r>
          </w:p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&gt; 10 шт.</w:t>
            </w:r>
          </w:p>
        </w:tc>
      </w:tr>
      <w:tr w:rsidR="00F2202D" w:rsidRPr="00F2202D" w:rsidTr="00791F1C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2202D" w:rsidRPr="00F2202D" w:rsidTr="00791F1C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определяется в соответствии с Федеральным законом </w:t>
            </w:r>
            <w:r w:rsidRPr="00F2202D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F2202D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F2202D">
              <w:rPr>
                <w:rFonts w:ascii="Times New Roman" w:hAnsi="Times New Roman"/>
                <w:szCs w:val="24"/>
              </w:rPr>
              <w:t xml:space="preserve">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снижение или превышение нормальных параметров более чем </w:t>
            </w:r>
            <w:r w:rsidRPr="00F2202D">
              <w:rPr>
                <w:rFonts w:ascii="Times New Roman" w:hAnsi="Times New Roman"/>
                <w:szCs w:val="24"/>
              </w:rPr>
              <w:br/>
              <w:t>на 10%</w:t>
            </w:r>
          </w:p>
        </w:tc>
      </w:tr>
    </w:tbl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F2202D" w:rsidRPr="00F2202D" w:rsidRDefault="00F2202D" w:rsidP="00F2202D">
      <w:pPr>
        <w:pStyle w:val="ConsPlusNormal"/>
        <w:ind w:firstLine="0"/>
        <w:jc w:val="center"/>
        <w:rPr>
          <w:b/>
          <w:szCs w:val="24"/>
        </w:rPr>
      </w:pPr>
      <w:r w:rsidRPr="00F2202D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F2202D">
        <w:rPr>
          <w:b/>
          <w:szCs w:val="24"/>
        </w:rPr>
        <w:t>в дорожном хозяйстве на территории Ерзовского городского поселения Городищенского муниципального района Волгоградской области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1.Ключевые показатели и их целевые значения: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отмененных результатов контрольных мероприятий - 0%.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lastRenderedPageBreak/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2202D" w:rsidRPr="00F2202D" w:rsidRDefault="00F2202D" w:rsidP="00F2202D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2. Индикативные показатели:</w:t>
      </w:r>
    </w:p>
    <w:p w:rsidR="00F2202D" w:rsidRPr="00F2202D" w:rsidRDefault="00F2202D" w:rsidP="00F2202D">
      <w:pPr>
        <w:pStyle w:val="ConsPlusNormal"/>
        <w:ind w:firstLine="567"/>
        <w:jc w:val="both"/>
        <w:rPr>
          <w:szCs w:val="24"/>
        </w:rPr>
      </w:pPr>
      <w:r w:rsidRPr="00F2202D">
        <w:rPr>
          <w:szCs w:val="24"/>
        </w:rPr>
        <w:t>При осуществлении муниципального контроля в дорожном хозяйстве на территории Ерзовского городского поселения Городищенского муниципального района Волгоградской области</w:t>
      </w:r>
      <w:r w:rsidRPr="00F2202D">
        <w:rPr>
          <w:color w:val="000000"/>
          <w:szCs w:val="24"/>
        </w:rPr>
        <w:t xml:space="preserve"> </w:t>
      </w:r>
      <w:r w:rsidRPr="00F2202D">
        <w:rPr>
          <w:szCs w:val="24"/>
        </w:rPr>
        <w:t>устанавливаются следующие индикативные показатели: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F2202D" w:rsidRPr="00F2202D" w:rsidRDefault="00F2202D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sectPr w:rsidR="000576D5" w:rsidRPr="00F2202D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6C" w:rsidRDefault="00B6616C">
      <w:pPr>
        <w:spacing w:line="240" w:lineRule="auto"/>
      </w:pPr>
      <w:r>
        <w:separator/>
      </w:r>
    </w:p>
  </w:endnote>
  <w:endnote w:type="continuationSeparator" w:id="0">
    <w:p w:rsidR="00B6616C" w:rsidRDefault="00B6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6C" w:rsidRDefault="00B6616C">
      <w:pPr>
        <w:spacing w:line="240" w:lineRule="auto"/>
      </w:pPr>
      <w:r>
        <w:separator/>
      </w:r>
    </w:p>
  </w:footnote>
  <w:footnote w:type="continuationSeparator" w:id="0">
    <w:p w:rsidR="00B6616C" w:rsidRDefault="00B661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1EE"/>
    <w:multiLevelType w:val="hybridMultilevel"/>
    <w:tmpl w:val="0F7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2E767E"/>
    <w:rsid w:val="00375C8F"/>
    <w:rsid w:val="00571323"/>
    <w:rsid w:val="00632D9C"/>
    <w:rsid w:val="00657638"/>
    <w:rsid w:val="009073DD"/>
    <w:rsid w:val="00B6616C"/>
    <w:rsid w:val="00DA1C0E"/>
    <w:rsid w:val="00E610EF"/>
    <w:rsid w:val="00ED4C81"/>
    <w:rsid w:val="00F110FE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6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E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E610EF"/>
    <w:rPr>
      <w:szCs w:val="24"/>
      <w:lang w:eastAsia="ar-SA"/>
    </w:rPr>
  </w:style>
  <w:style w:type="paragraph" w:styleId="ab">
    <w:name w:val="No Spacing"/>
    <w:link w:val="aa"/>
    <w:uiPriority w:val="1"/>
    <w:qFormat/>
    <w:rsid w:val="00E610EF"/>
    <w:pPr>
      <w:suppressAutoHyphens/>
    </w:pPr>
    <w:rPr>
      <w:szCs w:val="24"/>
      <w:lang w:eastAsia="ar-SA"/>
    </w:rPr>
  </w:style>
  <w:style w:type="paragraph" w:customStyle="1" w:styleId="ConsPlusNormal">
    <w:name w:val="ConsPlusNormal"/>
    <w:link w:val="ConsPlusNormal1"/>
    <w:qFormat/>
    <w:rsid w:val="00F2202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F2202D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c"/>
    <w:uiPriority w:val="99"/>
    <w:rsid w:val="00F2202D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c">
    <w:name w:val="footnote reference"/>
    <w:link w:val="15"/>
    <w:uiPriority w:val="99"/>
    <w:rsid w:val="00F2202D"/>
    <w:rPr>
      <w:rFonts w:ascii="Calibri" w:hAnsi="Calibri"/>
      <w:color w:val="auto"/>
      <w:sz w:val="20"/>
      <w:vertAlign w:val="superscript"/>
    </w:rPr>
  </w:style>
  <w:style w:type="paragraph" w:styleId="ad">
    <w:name w:val="List Paragraph"/>
    <w:basedOn w:val="a"/>
    <w:link w:val="ae"/>
    <w:rsid w:val="00F2202D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e">
    <w:name w:val="Абзац списка Знак"/>
    <w:link w:val="ad"/>
    <w:locked/>
    <w:rsid w:val="00F2202D"/>
    <w:rPr>
      <w:rFonts w:ascii="Arial" w:hAnsi="Arial"/>
      <w:color w:val="auto"/>
      <w:sz w:val="20"/>
    </w:rPr>
  </w:style>
  <w:style w:type="paragraph" w:styleId="af">
    <w:name w:val="footnote text"/>
    <w:basedOn w:val="a"/>
    <w:link w:val="af0"/>
    <w:rsid w:val="00F2202D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f0">
    <w:name w:val="Текст сноски Знак"/>
    <w:basedOn w:val="a0"/>
    <w:link w:val="af"/>
    <w:rsid w:val="00F2202D"/>
    <w:rPr>
      <w:rFonts w:ascii="Times New Roman" w:hAnsi="Times New Roman"/>
      <w:color w:val="auto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6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E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E610EF"/>
    <w:rPr>
      <w:szCs w:val="24"/>
      <w:lang w:eastAsia="ar-SA"/>
    </w:rPr>
  </w:style>
  <w:style w:type="paragraph" w:styleId="ab">
    <w:name w:val="No Spacing"/>
    <w:link w:val="aa"/>
    <w:uiPriority w:val="1"/>
    <w:qFormat/>
    <w:rsid w:val="00E610EF"/>
    <w:pPr>
      <w:suppressAutoHyphens/>
    </w:pPr>
    <w:rPr>
      <w:szCs w:val="24"/>
      <w:lang w:eastAsia="ar-SA"/>
    </w:rPr>
  </w:style>
  <w:style w:type="paragraph" w:customStyle="1" w:styleId="ConsPlusNormal">
    <w:name w:val="ConsPlusNormal"/>
    <w:link w:val="ConsPlusNormal1"/>
    <w:qFormat/>
    <w:rsid w:val="00F2202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F2202D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c"/>
    <w:uiPriority w:val="99"/>
    <w:rsid w:val="00F2202D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c">
    <w:name w:val="footnote reference"/>
    <w:link w:val="15"/>
    <w:uiPriority w:val="99"/>
    <w:rsid w:val="00F2202D"/>
    <w:rPr>
      <w:rFonts w:ascii="Calibri" w:hAnsi="Calibri"/>
      <w:color w:val="auto"/>
      <w:sz w:val="20"/>
      <w:vertAlign w:val="superscript"/>
    </w:rPr>
  </w:style>
  <w:style w:type="paragraph" w:styleId="ad">
    <w:name w:val="List Paragraph"/>
    <w:basedOn w:val="a"/>
    <w:link w:val="ae"/>
    <w:rsid w:val="00F2202D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e">
    <w:name w:val="Абзац списка Знак"/>
    <w:link w:val="ad"/>
    <w:locked/>
    <w:rsid w:val="00F2202D"/>
    <w:rPr>
      <w:rFonts w:ascii="Arial" w:hAnsi="Arial"/>
      <w:color w:val="auto"/>
      <w:sz w:val="20"/>
    </w:rPr>
  </w:style>
  <w:style w:type="paragraph" w:styleId="af">
    <w:name w:val="footnote text"/>
    <w:basedOn w:val="a"/>
    <w:link w:val="af0"/>
    <w:rsid w:val="00F2202D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f0">
    <w:name w:val="Текст сноски Знак"/>
    <w:basedOn w:val="a0"/>
    <w:link w:val="af"/>
    <w:rsid w:val="00F2202D"/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Алёна</cp:lastModifiedBy>
  <cp:revision>2</cp:revision>
  <cp:lastPrinted>2021-12-07T08:35:00Z</cp:lastPrinted>
  <dcterms:created xsi:type="dcterms:W3CDTF">2022-09-29T12:00:00Z</dcterms:created>
  <dcterms:modified xsi:type="dcterms:W3CDTF">2022-09-29T12:00:00Z</dcterms:modified>
</cp:coreProperties>
</file>