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209550</wp:posOffset>
            </wp:positionH>
            <wp:positionV relativeFrom="paragraph">
              <wp:posOffset>0</wp:posOffset>
            </wp:positionV>
            <wp:extent cx="2015490" cy="139001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13900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color w:val="00000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color w:val="00000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Осенью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2023 года в Волгоградской области  вновь стартует Всероссийский Эко-марафон ПЕРЕРАБОТКА «Сдай макулатуру – спаси дерево», который проводится при поддержке краудфандинг проекта «Подари Дерево»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  <w:rtl w:val="0"/>
        </w:rPr>
        <w:t xml:space="preserve">www.подари-дерево.рф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b w:val="1"/>
          <w:color w:val="00000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Акция проходит в виде соревнований между районами и городами Волгоградской области. Победители акции будут награждены премиями, благодарностями и ценными призами. Основная задача акции - привлечь внимание людей к ресурсосбережению, заставить задуматься над расточительностью использования природных ресурсов, а также внести вклад в развитие вторичной переработки отходов.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Все участники акции будут награждены благодарностями и саженцами деревьев, а самые результативные - денежными премиями.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Денежные премии в размере от 1руб. за 1кг выплачиваются, если одна или несколько организаций соберут в одной точке сбора макулатуру весом более 1 000 кг.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случае, если общий результат региона будет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более 100 тонн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(что вполне достижимо), финалисты получат ценные призы (на выбор):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1 место: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Аллея из хвойных пород деревьев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или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Телескоп – для знакомства со звёздным небом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2 место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Аллея из лиственных пород деревьев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или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Уличный спортивный комплекс (турник, брусья, вертикальная лестница)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3 место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Аллея из плодовых деревьев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или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Цифровой микроскоп – для изучения окружающего мира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6"/>
          <w:szCs w:val="26"/>
          <w:u w:val="none"/>
          <w:shd w:fill="auto" w:val="clear"/>
          <w:vertAlign w:val="baseline"/>
          <w:rtl w:val="0"/>
        </w:rPr>
        <w:t xml:space="preserve">Оргкомитет акции: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6"/>
          <w:szCs w:val="26"/>
          <w:u w:val="none"/>
          <w:shd w:fill="auto" w:val="clear"/>
          <w:vertAlign w:val="baseline"/>
          <w:rtl w:val="0"/>
        </w:rPr>
        <w:t xml:space="preserve">+7-988-037-88-91,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6"/>
          <w:szCs w:val="26"/>
          <w:u w:val="none"/>
          <w:shd w:fill="auto" w:val="clear"/>
          <w:vertAlign w:val="baseline"/>
          <w:rtl w:val="0"/>
        </w:rPr>
        <w:t xml:space="preserve">е-mail акции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80"/>
            <w:sz w:val="26"/>
            <w:szCs w:val="26"/>
            <w:u w:val="single"/>
            <w:shd w:fill="auto" w:val="clear"/>
            <w:vertAlign w:val="baseline"/>
            <w:rtl w:val="0"/>
          </w:rPr>
          <w:t xml:space="preserve">34@sdai-bumagu.com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6"/>
          <w:szCs w:val="26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b w:val="1"/>
          <w:color w:val="00000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Как подготовиться к сдаче макулатуры?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b w:val="1"/>
          <w:color w:val="00000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Вторичной переработке подлежат: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глянцевые журналы, газеты, офисная бумага, тетради, крафт бумага, бумажная упаковка, книги, не представляющие литературной ценности и т.п.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Гофрокартон в связи с его малой удельной плотностью принимается хорошо развернутый и компактно свернутый в объеме не более 1 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(Если не соблюсти эти требования, то переработка гофрокартона не экологична, малый вес при большом объёме, в процессе транспортировки не перекрывает вреда от выхлопов автомобиля.)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b w:val="1"/>
          <w:color w:val="00000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Уважаемые участники!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Для рационального проведения акции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взвешивается только вес машины на выгрузке.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Взвешивание машины осуществляется на автомобильных весах, которые проходят ежегодную поверку Ростехнадзором.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По этим данным определяется вес отдельно взятого района или муниципалитета.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При желании учреждение может выполнить предварительное взвешивание макулатуры самостоятельно. И уведомить об этом организаторов.</w:t>
      </w:r>
    </w:p>
    <w:p w:rsidR="00000000" w:rsidDel="00000000" w:rsidP="00000000" w:rsidRDefault="00000000" w:rsidRPr="00000000" w14:paraId="00000025">
      <w:pPr>
        <w:spacing w:after="120" w:lineRule="auto"/>
        <w:jc w:val="both"/>
        <w:rPr>
          <w:sz w:val="14"/>
          <w:szCs w:val="1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Можно сдавать документы администраций и организаций с истекшим сроком хранения, подготовленные к утилизации в установленном порядке. Мы гарантируем конфиденциальную утилизацию! (Лицензия на осуществление деятельности по сбору, транспортировки, обработке, утилизации обезвреживанию, размещению отходов I-IV классов опасности № (23)-230988-Т)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color w:val="00000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Макулатуру хорошо перевязать в плотные кипы или плотно и компактно сложить в коробки. Перед этим удалить пластиковые элементы, извлечь из файлов, металлические пружины отделить от старых календарей, тетрадей. </w:t>
      </w:r>
      <w:r w:rsidDel="00000000" w:rsidR="00000000" w:rsidRPr="00000000">
        <w:rPr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Гофрокартон хорошо развернуть и компактно свернуть, либо спрессовать. Объем гофрокартона не должен превышать более 1 м</w:t>
      </w:r>
      <w:r w:rsidDel="00000000" w:rsidR="00000000" w:rsidRPr="00000000">
        <w:rPr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b w:val="1"/>
          <w:color w:val="00000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b w:val="1"/>
          <w:color w:val="00008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Мы приглашаем к участию все учебные заведения, общественные организации, предприятия, компании и другие учреждения всех населенных пунктов Волгоградской области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. Для этого нужно собрать ненужную макулатуру (необходимо собрать более 300 кг макулатуры в одном месте - это 6 стопок бумаги А4 высотой 120 см или около 850 книг, не имеющих литературной ценности), далее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оставить</w:t>
      </w: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заявку</w:t>
      </w: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на официальном сайте акции</w:t>
      </w: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 </w:t>
      </w:r>
      <w:hyperlink r:id="rId9">
        <w:r w:rsidDel="00000000" w:rsidR="00000000" w:rsidRPr="00000000">
          <w:rPr>
            <w:b w:val="1"/>
            <w:color w:val="000080"/>
            <w:sz w:val="24"/>
            <w:szCs w:val="24"/>
            <w:highlight w:val="white"/>
            <w:rtl w:val="0"/>
          </w:rPr>
          <w:t xml:space="preserve">Сдавайбумагу.рф</w:t>
        </w:r>
      </w:hyperlink>
      <w:r w:rsidDel="00000000" w:rsidR="00000000" w:rsidRPr="00000000">
        <w:rPr>
          <w:sz w:val="24"/>
          <w:szCs w:val="24"/>
          <w:rtl w:val="0"/>
        </w:rPr>
        <w:t xml:space="preserve"> или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hyperlink r:id="rId10">
        <w:r w:rsidDel="00000000" w:rsidR="00000000" w:rsidRPr="00000000">
          <w:rPr>
            <w:b w:val="1"/>
            <w:color w:val="000080"/>
            <w:sz w:val="24"/>
            <w:szCs w:val="24"/>
            <w:highlight w:val="white"/>
            <w:u w:val="single"/>
            <w:rtl w:val="0"/>
          </w:rPr>
          <w:t xml:space="preserve">www.Sdai-Bumagu.com</w:t>
        </w:r>
      </w:hyperlink>
      <w:r w:rsidDel="00000000" w:rsidR="00000000" w:rsidRPr="00000000">
        <w:rPr>
          <w:b w:val="1"/>
          <w:color w:val="000080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b w:val="1"/>
          <w:color w:val="00008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Отдельные граждане, желающие принять участие в акции, но не имеющие возможность собрать более 300 кг, могут обратиться по месту работы или в ближайшее учебное заведение, учреждение с предложением принять участие в акции «Сдай макулатуру – спаси дерево!»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b w:val="1"/>
          <w:color w:val="00000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Оргкомитет акции: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+7-988-037-88-91,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е-mail акции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34@sdai-bumagu.com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результатам акции будет составлен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«Зеленый рейтинг»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муниципалитетов.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Заявки на вывоз макулатуры необходимо оставлять заранее на официальном сайте акции </w:t>
      </w:r>
      <w:r w:rsidDel="00000000" w:rsidR="00000000" w:rsidRPr="00000000">
        <w:rPr>
          <w:sz w:val="24"/>
          <w:szCs w:val="24"/>
          <w:rtl w:val="0"/>
        </w:rPr>
        <w:t xml:space="preserve"> www</w:t>
      </w:r>
      <w:r w:rsidDel="00000000" w:rsidR="00000000" w:rsidRPr="00000000">
        <w:rPr>
          <w:b w:val="1"/>
          <w:sz w:val="24"/>
          <w:szCs w:val="24"/>
          <w:rtl w:val="0"/>
        </w:rPr>
        <w:t xml:space="preserve">.</w:t>
      </w:r>
      <w:hyperlink r:id="rId12">
        <w:r w:rsidDel="00000000" w:rsidR="00000000" w:rsidRPr="00000000">
          <w:rPr>
            <w:b w:val="1"/>
            <w:color w:val="00000a"/>
            <w:sz w:val="24"/>
            <w:szCs w:val="24"/>
            <w:highlight w:val="white"/>
            <w:rtl w:val="0"/>
          </w:rPr>
          <w:t xml:space="preserve">Сдавайбумагу.рф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вывоз собранной макулатуры будет осуществляться транспортом компании переработчика согласно расписанию акции.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Акция "Сдай макулатуру - спаси дерево!" проходит 2 раза год (раз в полугодие) на регулярной основе.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Практикуйте в быту культуру отдельного сбора бумаги, таким образом, каждый может внести вклад в сохранение лесов и уменьшение объема мусора на полигонах.</w:t>
      </w:r>
    </w:p>
    <w:sectPr>
      <w:pgSz w:h="16838" w:w="11906" w:orient="portrait"/>
      <w:pgMar w:bottom="766" w:top="766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915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635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35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07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79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51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23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95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675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Arial Unicode MS" w:hAnsi="Calibri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Строгий">
    <w:name w:val="Строгий"/>
    <w:next w:val="Строгий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Tahoma" w:cs="Tahoma" w:hAnsi="Tahoma"/>
      <w:color w:val="000000"/>
      <w:w w:val="100"/>
      <w:position w:val="-1"/>
      <w:sz w:val="16"/>
      <w:szCs w:val="16"/>
      <w:u w:val="none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0"/>
    <w:rPr>
      <w:color w:val="605e5c"/>
      <w:w w:val="100"/>
      <w:position w:val="-1"/>
      <w:effect w:val="none"/>
      <w:vertAlign w:val="baseline"/>
      <w:cs w:val="0"/>
      <w:em w:val="none"/>
      <w:lang/>
    </w:rPr>
  </w:style>
  <w:style w:type="character" w:styleId="FollowedHyperlink">
    <w:name w:val="FollowedHyperlink"/>
    <w:next w:val="FollowedHyperlink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Просмотреннаягиперссылка">
    <w:name w:val="Просмотренная гиперссылка"/>
    <w:next w:val="Просмотреннаягиперссылка"/>
    <w:autoRedefine w:val="0"/>
    <w:hidden w:val="0"/>
    <w:qFormat w:val="0"/>
    <w:rPr>
      <w:color w:val="80000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Символсноски">
    <w:name w:val="Символ сноски"/>
    <w:next w:val="Символсноск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Символыконцевойсноски">
    <w:name w:val="Символы концевой сноски"/>
    <w:next w:val="Символыконцевойсноск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Заголовок1">
    <w:name w:val="Заголовок1"/>
    <w:basedOn w:val="Обычный"/>
    <w:next w:val="Основнойтекст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Arial" w:cs="Lucida Sans" w:eastAsia="Microsoft YaHei" w:hAnsi="Arial"/>
      <w:color w:val="000000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Arial Unicode MS" w:hAnsi="Calibri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ucida Sans" w:eastAsia="Arial Unicode MS" w:hAnsi="Calibri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Название">
    <w:name w:val="Название"/>
    <w:basedOn w:val="Обычный"/>
    <w:next w:val="Название"/>
    <w:autoRedefine w:val="0"/>
    <w:hidden w:val="0"/>
    <w:qFormat w:val="0"/>
    <w:pPr>
      <w:suppressLineNumbers w:val="1"/>
      <w:suppressAutoHyphens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ucida Sans" w:eastAsia="Arial Unicode MS" w:hAnsi="Calibri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paragraph" w:styleId="Указатель1">
    <w:name w:val="Указатель1"/>
    <w:basedOn w:val="Обычный"/>
    <w:next w:val="Указатель1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ucida Sans" w:eastAsia="Arial Unicode MS" w:hAnsi="Calibri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Колонтитулы">
    <w:name w:val="Колонтитулы"/>
    <w:next w:val="Колонтитулы"/>
    <w:autoRedefine w:val="0"/>
    <w:hidden w:val="0"/>
    <w:qFormat w:val="0"/>
    <w:pPr>
      <w:tabs>
        <w:tab w:val="right" w:leader="none" w:pos="9020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elvetica" w:cs="Arial Unicode MS" w:eastAsia="Arial Unicode MS" w:hAnsi="Helvetic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paragraph" w:styleId="Normal(Web)">
    <w:name w:val="Normal (Web)"/>
    <w:basedOn w:val="Обычный"/>
    <w:next w:val="Normal(Web)"/>
    <w:autoRedefine w:val="0"/>
    <w:hidden w:val="0"/>
    <w:qFormat w:val="0"/>
    <w:pPr>
      <w:numPr>
        <w:ilvl w:val="0"/>
        <w:numId w:val="0"/>
      </w:numPr>
      <w:pBdr>
        <w:top w:space="0" w:sz="0" w:val="none"/>
        <w:left w:space="0" w:sz="0" w:val="none"/>
        <w:bottom w:space="0" w:sz="0" w:val="none"/>
        <w:right w:space="0" w:sz="0" w:val="none"/>
      </w:pBdr>
      <w:suppressAutoHyphens w:val="0"/>
      <w:spacing w:after="100" w:before="100" w:line="100" w:lineRule="atLeast"/>
      <w:ind w:left="0" w:right="0" w:leftChars="-1" w:rightChars="0" w:firstLine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color w:val="00000a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paragraph" w:styleId="BalloonText">
    <w:name w:val="Balloon Text"/>
    <w:basedOn w:val="Обычный"/>
    <w:next w:val="BalloonText"/>
    <w:autoRedefine w:val="0"/>
    <w:hidden w:val="0"/>
    <w:qFormat w:val="0"/>
    <w:pPr>
      <w:numPr>
        <w:ilvl w:val="0"/>
        <w:numId w:val="0"/>
      </w:numPr>
      <w:suppressAutoHyphens w:val="0"/>
      <w:spacing w:after="0" w:before="0" w:line="100" w:lineRule="atLeast"/>
      <w:ind w:left="0" w:right="0" w:leftChars="-1" w:rightChars="0" w:firstLine="0" w:firstLineChars="-1"/>
      <w:textDirection w:val="btLr"/>
      <w:textAlignment w:val="top"/>
      <w:outlineLvl w:val="0"/>
    </w:pPr>
    <w:rPr>
      <w:rFonts w:ascii="Tahoma" w:cs="Tahoma" w:eastAsia="Arial Unicode MS" w:hAnsi="Tahoma"/>
      <w:color w:val="000000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ru-RU"/>
    </w:rPr>
  </w:style>
  <w:style w:type="paragraph" w:styleId="ListParagraph">
    <w:name w:val="List Paragraph"/>
    <w:basedOn w:val="Обычный"/>
    <w:next w:val="ListParagraph"/>
    <w:autoRedefine w:val="0"/>
    <w:hidden w:val="0"/>
    <w:qFormat w:val="0"/>
    <w:pPr>
      <w:numPr>
        <w:ilvl w:val="0"/>
        <w:numId w:val="0"/>
      </w:numPr>
      <w:suppressAutoHyphens w:val="0"/>
      <w:spacing w:after="200" w:line="276" w:lineRule="auto"/>
      <w:ind w:left="720" w:right="0" w:leftChars="-1" w:rightChars="0" w:firstLine="0" w:firstLineChars="-1"/>
      <w:textDirection w:val="btLr"/>
      <w:textAlignment w:val="top"/>
      <w:outlineLvl w:val="0"/>
    </w:pPr>
    <w:rPr>
      <w:rFonts w:ascii="Calibri" w:cs="Calibri" w:eastAsia="Arial Unicode MS" w:hAnsi="Calibri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Arial Unicode MS" w:hAnsi="Calibri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Arial Unicode MS" w:hAnsi="Calibri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1"/>
    <w:pPr>
      <w:suppressAutoHyphens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Times New Roman" w:eastAsia="Arial Unicode MS" w:hAnsi="Segoe UI"/>
      <w:color w:val="000000"/>
      <w:w w:val="100"/>
      <w:position w:val="-1"/>
      <w:sz w:val="18"/>
      <w:szCs w:val="18"/>
      <w:effect w:val="none"/>
      <w:vertAlign w:val="baseline"/>
      <w:cs w:val="0"/>
      <w:em w:val="none"/>
      <w:lang w:bidi="ar-SA" w:eastAsia="ar-SA" w:val="und"/>
    </w:rPr>
  </w:style>
  <w:style w:type="character" w:styleId="ТекствыноскиЗнак1">
    <w:name w:val="Текст выноски Знак1"/>
    <w:next w:val="ТекствыноскиЗнак1"/>
    <w:autoRedefine w:val="0"/>
    <w:hidden w:val="0"/>
    <w:qFormat w:val="0"/>
    <w:rPr>
      <w:rFonts w:ascii="Segoe UI" w:cs="Segoe UI" w:eastAsia="Arial Unicode MS" w:hAnsi="Segoe UI"/>
      <w:color w:val="000000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34@sdai-bumagu.com" TargetMode="External"/><Relationship Id="rId10" Type="http://schemas.openxmlformats.org/officeDocument/2006/relationships/hyperlink" Target="http://www.sdai-bumagu.com" TargetMode="External"/><Relationship Id="rId12" Type="http://schemas.openxmlformats.org/officeDocument/2006/relationships/hyperlink" Target="http://xn--80aaaddjb7b2a7b2ad.xn--p1ai/" TargetMode="External"/><Relationship Id="rId9" Type="http://schemas.openxmlformats.org/officeDocument/2006/relationships/hyperlink" Target="http://xn--80aaaddjb7b2a7b2ad.xn--p1ai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34@sdai-bumagu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lYGhS1JBnxALdwBX3Jn9Yk0/wQ==">CgMxLjA4AHIhMXVYVnJRa0RHN2o3eU1rU2hNMWpWcV9XZXZPN2txd25n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2023-02-06T08:36:00Z</dcterms:created>
  <dc:creator>Дарина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str>12.0000</vt:lpstr>
  </property>
  <property fmtid="{D5CDD505-2E9C-101B-9397-08002B2CF9AE}" pid="3" name="Company">
    <vt:lpstr>SPecialiST RePack</vt:lpstr>
  </property>
  <property fmtid="{D5CDD505-2E9C-101B-9397-08002B2CF9AE}" pid="4" name="DocSecurity">
    <vt:r8>0.0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